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DB2" w14:textId="77777777" w:rsidR="00B835EE" w:rsidRDefault="00B835EE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</w:p>
    <w:p w14:paraId="1C39210D" w14:textId="49D347CA" w:rsidR="00B835EE" w:rsidRDefault="00DB0BE5">
      <w:pPr>
        <w:spacing w:after="200" w:line="276" w:lineRule="auto"/>
        <w:jc w:val="center"/>
        <w:rPr>
          <w:rFonts w:ascii="Segoe UI" w:eastAsia="Segoe UI" w:hAnsi="Segoe UI" w:cs="Segoe UI"/>
          <w:color w:val="595959"/>
          <w:sz w:val="24"/>
        </w:rPr>
      </w:pPr>
      <w:r>
        <w:rPr>
          <w:rFonts w:ascii="Segoe UI" w:eastAsia="Segoe UI" w:hAnsi="Segoe UI" w:cs="Segoe UI"/>
          <w:b/>
          <w:color w:val="595959"/>
          <w:sz w:val="24"/>
        </w:rPr>
        <w:t xml:space="preserve">Výpis podporovaných opatření </w:t>
      </w:r>
      <w:proofErr w:type="gramStart"/>
      <w:r>
        <w:rPr>
          <w:rFonts w:ascii="Segoe UI" w:eastAsia="Segoe UI" w:hAnsi="Segoe UI" w:cs="Segoe UI"/>
          <w:b/>
          <w:color w:val="595959"/>
          <w:sz w:val="24"/>
        </w:rPr>
        <w:t>projektů  CLLD</w:t>
      </w:r>
      <w:proofErr w:type="gramEnd"/>
      <w:r>
        <w:rPr>
          <w:rFonts w:ascii="Segoe UI" w:eastAsia="Segoe UI" w:hAnsi="Segoe UI" w:cs="Segoe UI"/>
          <w:b/>
          <w:color w:val="595959"/>
          <w:sz w:val="24"/>
        </w:rPr>
        <w:t xml:space="preserve"> v OPŽP  2020+</w:t>
      </w:r>
    </w:p>
    <w:p w14:paraId="56B5A9B7" w14:textId="73CC217D" w:rsidR="00B835EE" w:rsidRDefault="00DB0BE5">
      <w:pPr>
        <w:spacing w:after="0" w:line="264" w:lineRule="auto"/>
        <w:rPr>
          <w:rFonts w:ascii="Segoe UI" w:eastAsia="Segoe UI" w:hAnsi="Segoe UI" w:cs="Segoe UI"/>
          <w:b/>
          <w:color w:val="0070C0"/>
          <w:sz w:val="20"/>
        </w:rPr>
      </w:pPr>
      <w:r>
        <w:rPr>
          <w:rFonts w:ascii="Segoe UI" w:eastAsia="Segoe UI" w:hAnsi="Segoe UI" w:cs="Segoe UI"/>
          <w:b/>
          <w:color w:val="0070C0"/>
          <w:sz w:val="20"/>
        </w:rPr>
        <w:t>Rekonstrukce veřejných budov a infrastruktury</w:t>
      </w:r>
    </w:p>
    <w:p w14:paraId="123CC1F3" w14:textId="77777777" w:rsidR="00B835EE" w:rsidRDefault="00DB0BE5">
      <w:pPr>
        <w:numPr>
          <w:ilvl w:val="0"/>
          <w:numId w:val="1"/>
        </w:numPr>
        <w:spacing w:before="240" w:after="120" w:line="264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>Opatření 1.1.1 Snížení energetické náročnosti veřejných budov a veřejné infrastruktury</w:t>
      </w:r>
    </w:p>
    <w:p w14:paraId="3FE95368" w14:textId="77777777" w:rsidR="00B835EE" w:rsidRDefault="00DB0BE5">
      <w:pPr>
        <w:numPr>
          <w:ilvl w:val="0"/>
          <w:numId w:val="1"/>
        </w:numPr>
        <w:spacing w:after="12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 Typy podporovaných projektů</w:t>
      </w:r>
    </w:p>
    <w:p w14:paraId="7531853C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color w:val="595959"/>
          <w:sz w:val="20"/>
        </w:rPr>
      </w:pPr>
      <w:r>
        <w:rPr>
          <w:rFonts w:ascii="Segoe UI" w:eastAsia="Segoe UI" w:hAnsi="Segoe UI" w:cs="Segoe UI"/>
          <w:color w:val="595959"/>
          <w:sz w:val="20"/>
        </w:rPr>
        <w:t xml:space="preserve">Komplexní podpora revitalizace budov veřejného sektoru s cílem snížení konečné spotřeby energie a úspory primární energie z neobnovitelných zdrojů. </w:t>
      </w:r>
    </w:p>
    <w:p w14:paraId="07D14171" w14:textId="77777777" w:rsidR="00B835EE" w:rsidRDefault="00B835EE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color w:val="595959"/>
          <w:sz w:val="20"/>
        </w:rPr>
      </w:pPr>
    </w:p>
    <w:p w14:paraId="01C83C3C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Podporované projekty: </w:t>
      </w:r>
    </w:p>
    <w:p w14:paraId="79BB7567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Komplexní, či návazné stavební úpravy budov vedoucí ke zlepšení tepelně technických vlastností obvodových konstrukcí budovy.  </w:t>
      </w:r>
    </w:p>
    <w:p w14:paraId="2793E5AF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Systémy využívající odpadní teplo. </w:t>
      </w:r>
    </w:p>
    <w:p w14:paraId="6FDF3F51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Systémy nuceného větrání s rekuperací odpadního tepla.  </w:t>
      </w:r>
    </w:p>
    <w:p w14:paraId="628CF0F9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Rekonstrukce otopné soustavy.</w:t>
      </w:r>
    </w:p>
    <w:p w14:paraId="540565AF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Ostatní opatření vedoucí ke snížení energetické náročnosti budovy ve všech aspektech jejího provozu např.: </w:t>
      </w:r>
    </w:p>
    <w:p w14:paraId="6E1AD39F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zavedení energetického managementu, včetně řídícího softwaru a měřících a řídících prvků pro optimalizaci výroby a spotřeby energie; </w:t>
      </w:r>
    </w:p>
    <w:p w14:paraId="16356DEE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rekonstrukce předávacích stanic tepla. </w:t>
      </w:r>
    </w:p>
    <w:p w14:paraId="1AC6FDFC" w14:textId="77777777" w:rsidR="00B835EE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rekonstrukce teplovodních rozvodů v rámci areálových škol, nemocnic apod. s jednou centrální kotelnou.</w:t>
      </w:r>
    </w:p>
    <w:p w14:paraId="5F0A5AB3" w14:textId="77777777" w:rsidR="00B835EE" w:rsidRDefault="00DB0BE5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Opatření je možné kombinovat s aktivitami v 1.1.3, 1.1.4 a 1.2.1 do </w:t>
      </w:r>
      <w:r>
        <w:rPr>
          <w:rFonts w:ascii="Segoe UI" w:eastAsia="Segoe UI" w:hAnsi="Segoe UI" w:cs="Segoe UI"/>
          <w:b/>
          <w:color w:val="595959"/>
        </w:rPr>
        <w:t>jednoho komplexního projektu</w:t>
      </w:r>
      <w:r>
        <w:rPr>
          <w:rFonts w:ascii="Segoe UI" w:eastAsia="Segoe UI" w:hAnsi="Segoe UI" w:cs="Segoe UI"/>
          <w:color w:val="595959"/>
        </w:rPr>
        <w:t xml:space="preserve">. Jako součást komplexního projektu může být způsobilým výdajem i </w:t>
      </w:r>
      <w:r>
        <w:rPr>
          <w:rFonts w:ascii="Segoe UI" w:eastAsia="Segoe UI" w:hAnsi="Segoe UI" w:cs="Segoe UI"/>
          <w:b/>
          <w:color w:val="595959"/>
        </w:rPr>
        <w:t>dobíjecí stanice pro vozidla na elektropohon</w:t>
      </w:r>
      <w:r>
        <w:rPr>
          <w:rFonts w:ascii="Segoe UI" w:eastAsia="Segoe UI" w:hAnsi="Segoe UI" w:cs="Segoe UI"/>
          <w:color w:val="595959"/>
        </w:rPr>
        <w:t>.</w:t>
      </w:r>
      <w:r>
        <w:rPr>
          <w:rFonts w:ascii="Segoe UI" w:eastAsia="Segoe UI" w:hAnsi="Segoe UI" w:cs="Segoe UI"/>
          <w:b/>
          <w:color w:val="595959"/>
        </w:rPr>
        <w:t xml:space="preserve"> </w:t>
      </w:r>
    </w:p>
    <w:p w14:paraId="2B468109" w14:textId="77777777" w:rsidR="00B835EE" w:rsidRDefault="00B835EE">
      <w:pPr>
        <w:spacing w:after="200" w:line="276" w:lineRule="auto"/>
        <w:rPr>
          <w:rFonts w:ascii="Segoe UI" w:eastAsia="Segoe UI" w:hAnsi="Segoe UI" w:cs="Segoe UI"/>
          <w:color w:val="595959"/>
        </w:rPr>
      </w:pPr>
    </w:p>
    <w:p w14:paraId="4AD10159" w14:textId="4975DDB5" w:rsidR="00DB0BE5" w:rsidRDefault="00DB0BE5">
      <w:pPr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br w:type="page"/>
      </w:r>
    </w:p>
    <w:p w14:paraId="49C753FA" w14:textId="77777777" w:rsidR="00B835EE" w:rsidRDefault="00B835EE">
      <w:pPr>
        <w:spacing w:after="200" w:line="276" w:lineRule="auto"/>
        <w:rPr>
          <w:rFonts w:ascii="Segoe UI" w:eastAsia="Segoe UI" w:hAnsi="Segoe UI" w:cs="Segoe UI"/>
          <w:color w:val="595959"/>
        </w:rPr>
      </w:pPr>
    </w:p>
    <w:p w14:paraId="4F2D8D52" w14:textId="77777777" w:rsidR="00B835EE" w:rsidRDefault="00DB0BE5">
      <w:pPr>
        <w:numPr>
          <w:ilvl w:val="0"/>
          <w:numId w:val="3"/>
        </w:numPr>
        <w:spacing w:after="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>Opatření 1.1.3 Zlepšení kvality vnitřního prostředí veřejných budov</w:t>
      </w:r>
    </w:p>
    <w:p w14:paraId="21936266" w14:textId="77777777" w:rsidR="00B835EE" w:rsidRDefault="00B835EE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</w:p>
    <w:p w14:paraId="2E32B434" w14:textId="77777777" w:rsidR="00B835EE" w:rsidRDefault="00DB0BE5">
      <w:pPr>
        <w:numPr>
          <w:ilvl w:val="0"/>
          <w:numId w:val="4"/>
        </w:numPr>
        <w:spacing w:after="12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 Typy podporovaných projektů</w:t>
      </w:r>
    </w:p>
    <w:p w14:paraId="6A37FDDD" w14:textId="77777777" w:rsidR="00B835EE" w:rsidRDefault="00DB0BE5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Cílem je zlepšení kvality vnitřního prostředí jako integrální součásti komplexní revitalizace budov veřejného sektoru. </w:t>
      </w:r>
    </w:p>
    <w:p w14:paraId="0112F25D" w14:textId="77777777" w:rsidR="00B835EE" w:rsidRDefault="00B835EE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</w:p>
    <w:p w14:paraId="4EE87C8D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Podporované projekty: </w:t>
      </w:r>
    </w:p>
    <w:p w14:paraId="47FF11DA" w14:textId="77777777" w:rsidR="00B835EE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Modernizace vnitřního osvětlení.</w:t>
      </w:r>
    </w:p>
    <w:p w14:paraId="1F5CBB54" w14:textId="77777777" w:rsidR="00B835EE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Opatření k eliminaci negativních akustických jevů.</w:t>
      </w:r>
    </w:p>
    <w:p w14:paraId="438B44E8" w14:textId="77777777" w:rsidR="00B835EE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Vnější stínící prvky.</w:t>
      </w:r>
    </w:p>
    <w:p w14:paraId="207596EC" w14:textId="77777777" w:rsidR="00B835EE" w:rsidRDefault="00B835EE">
      <w:pPr>
        <w:spacing w:after="200" w:line="276" w:lineRule="auto"/>
        <w:rPr>
          <w:rFonts w:ascii="Segoe UI" w:eastAsia="Segoe UI" w:hAnsi="Segoe UI" w:cs="Segoe UI"/>
          <w:color w:val="595959"/>
        </w:rPr>
      </w:pPr>
    </w:p>
    <w:p w14:paraId="5A2B98CD" w14:textId="77777777" w:rsidR="00B835EE" w:rsidRDefault="00DB0BE5">
      <w:pPr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Opatření 1.1.4 Zvýšení adaptability veřejných budov na změnu klimatu  </w:t>
      </w:r>
    </w:p>
    <w:p w14:paraId="5591CBBC" w14:textId="77777777" w:rsidR="00B835EE" w:rsidRDefault="00B835EE">
      <w:pPr>
        <w:spacing w:after="0" w:line="240" w:lineRule="auto"/>
        <w:rPr>
          <w:rFonts w:ascii="Segoe UI" w:eastAsia="Segoe UI" w:hAnsi="Segoe UI" w:cs="Segoe UI"/>
          <w:color w:val="595959"/>
        </w:rPr>
      </w:pPr>
    </w:p>
    <w:p w14:paraId="5541CE47" w14:textId="77777777" w:rsidR="00B835EE" w:rsidRDefault="00B835EE">
      <w:pPr>
        <w:spacing w:after="0" w:line="240" w:lineRule="auto"/>
        <w:rPr>
          <w:rFonts w:ascii="Segoe UI" w:eastAsia="Segoe UI" w:hAnsi="Segoe UI" w:cs="Segoe UI"/>
          <w:color w:val="595959"/>
        </w:rPr>
      </w:pPr>
    </w:p>
    <w:p w14:paraId="5893519C" w14:textId="77777777" w:rsidR="00B835EE" w:rsidRDefault="00DB0BE5">
      <w:pPr>
        <w:numPr>
          <w:ilvl w:val="0"/>
          <w:numId w:val="7"/>
        </w:numPr>
        <w:spacing w:after="12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Typy podporovaných projektů </w:t>
      </w:r>
    </w:p>
    <w:p w14:paraId="26AEA304" w14:textId="77777777" w:rsidR="00B835EE" w:rsidRDefault="00DB0BE5">
      <w:pPr>
        <w:spacing w:after="200" w:line="276" w:lineRule="auto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Cílem je zvýšení adaptability budov na změnu klimatu jako integrální součásti komplexní revitalizace budov veřejného sektoru. </w:t>
      </w:r>
    </w:p>
    <w:p w14:paraId="14B0A606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Podporované projekty: </w:t>
      </w:r>
    </w:p>
    <w:p w14:paraId="57DDF84A" w14:textId="77777777" w:rsidR="00B835EE" w:rsidRDefault="00DB0BE5">
      <w:pPr>
        <w:numPr>
          <w:ilvl w:val="0"/>
          <w:numId w:val="8"/>
        </w:numPr>
        <w:spacing w:after="0" w:line="264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Technologie pro akumulaci, úpravu a rozvod šedých a srážkových vod v budovách za účelem splachování, zálivky, praní a dalších relevantních užití.</w:t>
      </w:r>
    </w:p>
    <w:p w14:paraId="798B0CFD" w14:textId="77777777" w:rsidR="00B835EE" w:rsidRDefault="00B835EE">
      <w:pPr>
        <w:spacing w:after="200" w:line="276" w:lineRule="auto"/>
        <w:rPr>
          <w:rFonts w:ascii="Segoe UI" w:eastAsia="Segoe UI" w:hAnsi="Segoe UI" w:cs="Segoe UI"/>
        </w:rPr>
      </w:pPr>
    </w:p>
    <w:p w14:paraId="667E4B81" w14:textId="7388F7AF" w:rsidR="00B835EE" w:rsidRDefault="00DB0BE5">
      <w:pPr>
        <w:spacing w:after="0" w:line="264" w:lineRule="auto"/>
        <w:rPr>
          <w:rFonts w:ascii="Segoe UI" w:eastAsia="Segoe UI" w:hAnsi="Segoe UI" w:cs="Segoe UI"/>
          <w:b/>
          <w:color w:val="0070C0"/>
          <w:sz w:val="20"/>
        </w:rPr>
      </w:pPr>
      <w:r>
        <w:rPr>
          <w:rFonts w:ascii="Segoe UI" w:eastAsia="Segoe UI" w:hAnsi="Segoe UI" w:cs="Segoe UI"/>
          <w:b/>
          <w:color w:val="0070C0"/>
          <w:sz w:val="20"/>
        </w:rPr>
        <w:t>Obnovitelné zdroje energie</w:t>
      </w:r>
    </w:p>
    <w:p w14:paraId="16238EF9" w14:textId="77777777" w:rsidR="00B835EE" w:rsidRDefault="00DB0BE5">
      <w:pPr>
        <w:numPr>
          <w:ilvl w:val="0"/>
          <w:numId w:val="9"/>
        </w:numPr>
        <w:spacing w:before="240" w:after="120" w:line="264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>Opatření 1.2.1 Výstavba a rekonstrukce obnovitelných zdrojů energie pro veřejné budovy</w:t>
      </w:r>
    </w:p>
    <w:p w14:paraId="6D30AAA4" w14:textId="77777777" w:rsidR="00B835EE" w:rsidRDefault="00DB0BE5">
      <w:pPr>
        <w:numPr>
          <w:ilvl w:val="0"/>
          <w:numId w:val="9"/>
        </w:numPr>
        <w:spacing w:after="120" w:line="240" w:lineRule="auto"/>
        <w:ind w:left="737" w:hanging="737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 Typy podporovaných projektů</w:t>
      </w:r>
    </w:p>
    <w:p w14:paraId="7F0F3AA7" w14:textId="77777777" w:rsidR="00B835EE" w:rsidRDefault="00DB0BE5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Cílem je zvýšení využití obnovitelných zdrojů energie v budovách jako integrální součást komplexní revitalizace budov veřejného sektoru nebo samostatné instalace obnovitelných zdrojů energie. </w:t>
      </w:r>
    </w:p>
    <w:p w14:paraId="064A1A39" w14:textId="77777777" w:rsidR="00B835EE" w:rsidRDefault="00B835EE">
      <w:pPr>
        <w:spacing w:after="0" w:line="240" w:lineRule="auto"/>
        <w:jc w:val="both"/>
        <w:rPr>
          <w:rFonts w:ascii="Segoe UI" w:eastAsia="Segoe UI" w:hAnsi="Segoe UI" w:cs="Segoe UI"/>
          <w:color w:val="595959"/>
        </w:rPr>
      </w:pPr>
    </w:p>
    <w:p w14:paraId="63DCB26E" w14:textId="77777777" w:rsidR="00B835EE" w:rsidRDefault="00B835EE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b/>
          <w:color w:val="595959"/>
          <w:sz w:val="20"/>
        </w:rPr>
      </w:pPr>
    </w:p>
    <w:p w14:paraId="24B608DE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b/>
          <w:color w:val="595959"/>
          <w:sz w:val="20"/>
        </w:rPr>
      </w:pPr>
      <w:r>
        <w:rPr>
          <w:rFonts w:ascii="Segoe UI" w:eastAsia="Segoe UI" w:hAnsi="Segoe UI" w:cs="Segoe UI"/>
          <w:b/>
          <w:color w:val="595959"/>
          <w:sz w:val="20"/>
        </w:rPr>
        <w:t xml:space="preserve">Podporované projekty: </w:t>
      </w:r>
    </w:p>
    <w:p w14:paraId="767EFD7E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Výměna zdroje pro vytápění, chlazení nebo přípravu teplé vody využívajícího fosilní paliva nebo elektrickou energii za: </w:t>
      </w:r>
    </w:p>
    <w:p w14:paraId="00CFCA9B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tepelné čerpadlo, </w:t>
      </w:r>
    </w:p>
    <w:p w14:paraId="3E9C4B4A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>kotel na biomasu,</w:t>
      </w:r>
    </w:p>
    <w:p w14:paraId="0D012B75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zařízení pro kombinovanou výrobu elektřiny a tepla či chladu využívající OZE. </w:t>
      </w:r>
    </w:p>
    <w:p w14:paraId="00ECD0B8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Součástí projektu může být i rekonstrukce otopné soustavy.  </w:t>
      </w:r>
    </w:p>
    <w:p w14:paraId="180FD293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Instalace solárně – termických systémů. </w:t>
      </w:r>
    </w:p>
    <w:p w14:paraId="320E1FEE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lastRenderedPageBreak/>
        <w:t xml:space="preserve">Instalace fotovoltaických systémů. </w:t>
      </w:r>
    </w:p>
    <w:p w14:paraId="62EBBA39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Rekonstrukce, či výměna stávajícího OZE za OZE, včetně rekonstrukce otopné soustavy. </w:t>
      </w:r>
    </w:p>
    <w:p w14:paraId="08540D37" w14:textId="77777777" w:rsidR="00B835EE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ascii="Segoe UI" w:eastAsia="Segoe UI" w:hAnsi="Segoe UI" w:cs="Segoe UI"/>
          <w:color w:val="595959"/>
        </w:rPr>
      </w:pPr>
      <w:r>
        <w:rPr>
          <w:rFonts w:ascii="Segoe UI" w:eastAsia="Segoe UI" w:hAnsi="Segoe UI" w:cs="Segoe UI"/>
          <w:color w:val="595959"/>
        </w:rPr>
        <w:t xml:space="preserve">Zavedení energetického managementu včetně řídícího softwaru a měřících a řídících prvků pro optimalizaci výroby a spotřeby energie.   </w:t>
      </w:r>
    </w:p>
    <w:p w14:paraId="1B8BB360" w14:textId="77777777" w:rsidR="00B835EE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ascii="Segoe UI" w:eastAsia="Segoe UI" w:hAnsi="Segoe UI" w:cs="Segoe UI"/>
          <w:color w:val="595959"/>
          <w:sz w:val="20"/>
        </w:rPr>
      </w:pPr>
      <w:r>
        <w:rPr>
          <w:rFonts w:ascii="Segoe UI" w:eastAsia="Segoe UI" w:hAnsi="Segoe UI" w:cs="Segoe UI"/>
          <w:color w:val="595959"/>
          <w:sz w:val="20"/>
        </w:rPr>
        <w:t xml:space="preserve">Podporovaná opatření je možné kombinovat s aktivitami opatření 1.1.1 a 1.1.3 do jednoho kombinovaného projektu. </w:t>
      </w:r>
    </w:p>
    <w:p w14:paraId="6E5579A2" w14:textId="77777777" w:rsidR="00B835EE" w:rsidRDefault="00B835EE">
      <w:pPr>
        <w:spacing w:after="0" w:line="264" w:lineRule="auto"/>
        <w:rPr>
          <w:rFonts w:ascii="Segoe UI" w:eastAsia="Segoe UI" w:hAnsi="Segoe UI" w:cs="Segoe UI"/>
          <w:b/>
          <w:color w:val="0070C0"/>
          <w:sz w:val="20"/>
        </w:rPr>
      </w:pPr>
    </w:p>
    <w:sectPr w:rsidR="00B8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BDE"/>
    <w:multiLevelType w:val="multilevel"/>
    <w:tmpl w:val="21B4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06395"/>
    <w:multiLevelType w:val="multilevel"/>
    <w:tmpl w:val="16CA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C43C5"/>
    <w:multiLevelType w:val="multilevel"/>
    <w:tmpl w:val="35124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63117"/>
    <w:multiLevelType w:val="multilevel"/>
    <w:tmpl w:val="0C348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012EF"/>
    <w:multiLevelType w:val="multilevel"/>
    <w:tmpl w:val="10EC8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9545A"/>
    <w:multiLevelType w:val="multilevel"/>
    <w:tmpl w:val="6FEE6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25F7E"/>
    <w:multiLevelType w:val="multilevel"/>
    <w:tmpl w:val="47AC2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BC71CC"/>
    <w:multiLevelType w:val="multilevel"/>
    <w:tmpl w:val="D97E3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213019"/>
    <w:multiLevelType w:val="multilevel"/>
    <w:tmpl w:val="D178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183679"/>
    <w:multiLevelType w:val="multilevel"/>
    <w:tmpl w:val="DD3A9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F11C33"/>
    <w:multiLevelType w:val="multilevel"/>
    <w:tmpl w:val="EAA41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868">
    <w:abstractNumId w:val="6"/>
  </w:num>
  <w:num w:numId="2" w16cid:durableId="1443450448">
    <w:abstractNumId w:val="10"/>
  </w:num>
  <w:num w:numId="3" w16cid:durableId="1486042453">
    <w:abstractNumId w:val="9"/>
  </w:num>
  <w:num w:numId="4" w16cid:durableId="920025555">
    <w:abstractNumId w:val="7"/>
  </w:num>
  <w:num w:numId="5" w16cid:durableId="2087067948">
    <w:abstractNumId w:val="2"/>
  </w:num>
  <w:num w:numId="6" w16cid:durableId="150560817">
    <w:abstractNumId w:val="3"/>
  </w:num>
  <w:num w:numId="7" w16cid:durableId="601305000">
    <w:abstractNumId w:val="0"/>
  </w:num>
  <w:num w:numId="8" w16cid:durableId="869297131">
    <w:abstractNumId w:val="8"/>
  </w:num>
  <w:num w:numId="9" w16cid:durableId="786121662">
    <w:abstractNumId w:val="5"/>
  </w:num>
  <w:num w:numId="10" w16cid:durableId="955209955">
    <w:abstractNumId w:val="4"/>
  </w:num>
  <w:num w:numId="11" w16cid:durableId="210896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EE"/>
    <w:rsid w:val="004F7388"/>
    <w:rsid w:val="00A81058"/>
    <w:rsid w:val="00B835EE"/>
    <w:rsid w:val="00DB0BE5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EA0F"/>
  <w15:docId w15:val="{CE67BC7A-AB66-4B53-96CB-D505BD52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A98CF-B851-4EAF-9CF1-32B2F7F9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515F0-51C2-4AC0-AE5A-61D3FD874500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3.xml><?xml version="1.0" encoding="utf-8"?>
<ds:datastoreItem xmlns:ds="http://schemas.openxmlformats.org/officeDocument/2006/customXml" ds:itemID="{1BA914A5-9D5D-4619-843D-28431F7A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 Karlubík</cp:lastModifiedBy>
  <cp:revision>2</cp:revision>
  <dcterms:created xsi:type="dcterms:W3CDTF">2023-08-24T09:55:00Z</dcterms:created>
  <dcterms:modified xsi:type="dcterms:W3CDTF">2023-08-24T09:55:00Z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</Properties>
</file>